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2EF2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0C6368">
        <w:rPr>
          <w:rFonts w:ascii="Times New Roman" w:eastAsia="Times New Roman" w:hAnsi="Times New Roman"/>
          <w:kern w:val="0"/>
          <w:sz w:val="24"/>
          <w:szCs w:val="24"/>
        </w:rPr>
        <w:t>Курское региональное отделение</w:t>
      </w:r>
    </w:p>
    <w:p w14:paraId="50B80461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0C6368">
        <w:rPr>
          <w:rFonts w:ascii="Times New Roman" w:eastAsia="Times New Roman" w:hAnsi="Times New Roman"/>
          <w:b/>
          <w:kern w:val="0"/>
          <w:sz w:val="24"/>
          <w:szCs w:val="24"/>
        </w:rPr>
        <w:t>ОБЩЕРОССИЙСКОЙ ОБЩЕСТВЕННОЙ ОРГАНИЗАЦИИ</w:t>
      </w:r>
    </w:p>
    <w:p w14:paraId="3E8CF0DA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kern w:val="0"/>
          <w:sz w:val="26"/>
          <w:szCs w:val="26"/>
        </w:rPr>
        <w:t>ОБЩЕНАЦИОНАЛЬНЫЙ   ПРАВОЗАЩИТНЫЙ   СОЮЗ</w:t>
      </w:r>
    </w:p>
    <w:p w14:paraId="4000BF73" w14:textId="77777777" w:rsidR="006957AF" w:rsidRPr="000C6368" w:rsidRDefault="006957AF" w:rsidP="006957AF">
      <w:pPr>
        <w:suppressLineNumbers/>
        <w:pBdr>
          <w:bottom w:val="single" w:sz="8" w:space="1" w:color="000000"/>
        </w:pBdr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  <w:t>«Ч Е Л О В Е К     И     З А К О Н»</w:t>
      </w:r>
    </w:p>
    <w:p w14:paraId="77BD79F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ИНН 4632102822 ОГРН 1084600001551</w:t>
      </w:r>
    </w:p>
    <w:p w14:paraId="3AFCD4BE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305000, г. Курск, ул. Радищева, 24</w:t>
      </w:r>
    </w:p>
    <w:p w14:paraId="107A58F7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тел. 8 (4712) 44-61-16, факс: 8 (4712) 700-100, 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e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-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mail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: 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Kro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chiz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46@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gmail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com</w:t>
      </w:r>
    </w:p>
    <w:p w14:paraId="40B3AA5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11889200" w14:textId="77777777" w:rsidR="000504D2" w:rsidRPr="000504D2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Отчет</w:t>
      </w:r>
    </w:p>
    <w:p w14:paraId="59D0E648" w14:textId="2E84C191" w:rsidR="000504D2" w:rsidRPr="000504D2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об итогах реализации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общественно полезной программы «</w:t>
      </w:r>
      <w:proofErr w:type="spellStart"/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Правомобиль</w:t>
      </w:r>
      <w:proofErr w:type="spellEnd"/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»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, </w:t>
      </w:r>
    </w:p>
    <w:p w14:paraId="791D6F30" w14:textId="25BCCB84" w:rsidR="006957AF" w:rsidRPr="000351B0" w:rsidRDefault="000504D2" w:rsidP="000504D2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реализованной некоммерческой организацией  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Курское региональное отделение Общероссийской общественной организации «Общенациональный правозащитный союз «Человек и Закон»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за счет средств 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областного бюджета, выделенных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о результатам конкурса в 2020 </w:t>
      </w:r>
      <w:r w:rsidRPr="000504D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году</w:t>
      </w:r>
      <w:r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</w:t>
      </w:r>
    </w:p>
    <w:p w14:paraId="348DAC4F" w14:textId="77777777" w:rsidR="006957AF" w:rsidRPr="00956482" w:rsidRDefault="006957AF" w:rsidP="009647DB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</w:p>
    <w:p w14:paraId="44B3414F" w14:textId="5E364162" w:rsidR="00CD547E" w:rsidRPr="000351B0" w:rsidRDefault="00CD547E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Курское региональное отделение Общероссийской общественной организации «Общенациональный правозащитный союз «Человек и Закон» обеспечивало выполнение проекта «</w:t>
      </w:r>
      <w:proofErr w:type="spellStart"/>
      <w:r w:rsidR="00C81A0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Правомобиль</w:t>
      </w:r>
      <w:proofErr w:type="spell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» - н</w:t>
      </w:r>
      <w:r w:rsidR="006957AF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а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территор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ии Курской области на основании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субсидии из бюджета Курской области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предоставляемой некоммерческим организациям, не являющимся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государственным (муниципальным)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учреждением, на финансовое обеспечение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затрат по реализации отдельных </w:t>
      </w:r>
      <w:r w:rsidR="0064014D" w:rsidRP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общественно полезных программ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. </w:t>
      </w:r>
    </w:p>
    <w:p w14:paraId="2A5AF53B" w14:textId="77777777" w:rsidR="004F3D40" w:rsidRPr="000351B0" w:rsidRDefault="004F3D40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A9FBF5D" w14:textId="4682C92D" w:rsidR="00772349" w:rsidRPr="000351B0" w:rsidRDefault="00CD547E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Проект был реализован в соответствии с заявленным календарным планом и зая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ленными значениями показателей результативности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: за период с 01.07.2020 г. по 01.12.2020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было 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проведено 4 акции по оказанию квалифицированной бесплатной правовой помощи жителям муниципальных районов Курской области, в рамках которых 413 жителей муниципальных районов Курской области: Беловского, </w:t>
      </w:r>
      <w:proofErr w:type="spellStart"/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Суджанского</w:t>
      </w:r>
      <w:proofErr w:type="spellEnd"/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Глушковского</w:t>
      </w:r>
      <w:proofErr w:type="spellEnd"/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 </w:t>
      </w:r>
      <w:proofErr w:type="spellStart"/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Кореневского</w:t>
      </w:r>
      <w:proofErr w:type="spellEnd"/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что на 1/3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</w:t>
      </w:r>
      <w:r w:rsidR="006401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ревысило заявленные показатели.</w:t>
      </w:r>
    </w:p>
    <w:p w14:paraId="7C79F54E" w14:textId="77777777" w:rsidR="004F3D40" w:rsidRPr="000351B0" w:rsidRDefault="004F3D40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D955EC7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Реализация проекта была обеспечена следующим образом:</w:t>
      </w:r>
    </w:p>
    <w:p w14:paraId="4EF33746" w14:textId="639C48AD" w:rsidR="00075E4D" w:rsidRDefault="00FD3DC4" w:rsidP="00075E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 01.09.2020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были сформированы и подготовлены группы консультантов и график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проведения консультаций в районах</w:t>
      </w:r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Курской области.</w:t>
      </w:r>
    </w:p>
    <w:p w14:paraId="3CA02955" w14:textId="56D84A2A" w:rsidR="00FD3DC4" w:rsidRDefault="0064014D" w:rsidP="00075E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В состав консультантов проекта по каждому выездному мероприятию вошли: юристы организации-заявителя проекта, адвокаты Адвокатской палаты Курской области, представители </w:t>
      </w:r>
      <w:r w:rsidR="00FD3DC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Курской областной нотариальной палаты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</w:t>
      </w:r>
      <w:r w:rsidR="000504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должностные лица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Прокуратуры Курской области, УМВД России по Курской области, Отделения пенсионного фонда РФ по Курской области, УФССП по Курской области, УФНС по Курской области, Управления </w:t>
      </w:r>
      <w:proofErr w:type="spell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Росреестра</w:t>
      </w:r>
      <w:proofErr w:type="spell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по Курской области, Общественной палаты Курской области, Уполномоченного по правам ребенка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FD3DC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 Курской области.</w:t>
      </w:r>
    </w:p>
    <w:p w14:paraId="28D7373B" w14:textId="7DD1A482" w:rsidR="0064014D" w:rsidRPr="000351B0" w:rsidRDefault="0064014D" w:rsidP="00FD3DC4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 целях информирования целевой аудитории проекта о его реализации заблаговременно до проведения консультаций организатором проекта было обеспечено:</w:t>
      </w:r>
    </w:p>
    <w:p w14:paraId="636E9B0A" w14:textId="490786B6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размещение объявлений о возможности получить консультацию, о дате и месте проведения меропри</w:t>
      </w:r>
      <w:r w:rsidR="00FD3DC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ятия проекта в районных газетах и социальных сетях;</w:t>
      </w:r>
    </w:p>
    <w:p w14:paraId="253EA8D9" w14:textId="4C601FBC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размещение информационного стенда с объявлением, расклейка и раздача объявлений </w:t>
      </w: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(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 возможности получить консультацию, о дате и месте проведения мероприятий проекта в местах массового скопления людей</w:t>
      </w:r>
      <w:r w:rsidR="00FD3DC4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)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6FE05AFB" w14:textId="0119786C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1B0">
        <w:rPr>
          <w:rFonts w:ascii="Times New Roman" w:hAnsi="Times New Roman"/>
          <w:sz w:val="24"/>
          <w:szCs w:val="24"/>
        </w:rPr>
        <w:t xml:space="preserve">В целях обеспечения реализации проекта, в </w:t>
      </w:r>
      <w:proofErr w:type="spellStart"/>
      <w:r w:rsidRPr="000351B0">
        <w:rPr>
          <w:rFonts w:ascii="Times New Roman" w:hAnsi="Times New Roman"/>
          <w:sz w:val="24"/>
          <w:szCs w:val="24"/>
        </w:rPr>
        <w:t>т.ч</w:t>
      </w:r>
      <w:proofErr w:type="spellEnd"/>
      <w:r w:rsidRPr="000351B0">
        <w:rPr>
          <w:rFonts w:ascii="Times New Roman" w:hAnsi="Times New Roman"/>
          <w:sz w:val="24"/>
          <w:szCs w:val="24"/>
        </w:rPr>
        <w:t>. в последующем, на территории Курской области были подготовлены и распространены среди жителей районов Курской области информационные брошюры, содержащие подробные сведения о проекте и контактную информ</w:t>
      </w:r>
      <w:r w:rsidR="00FD3DC4">
        <w:rPr>
          <w:rFonts w:ascii="Times New Roman" w:hAnsi="Times New Roman"/>
          <w:sz w:val="24"/>
          <w:szCs w:val="24"/>
        </w:rPr>
        <w:t>ацию организаторов проекта</w:t>
      </w:r>
      <w:r w:rsidRPr="000351B0">
        <w:rPr>
          <w:rFonts w:ascii="Times New Roman" w:hAnsi="Times New Roman"/>
          <w:sz w:val="24"/>
          <w:szCs w:val="24"/>
        </w:rPr>
        <w:t>.</w:t>
      </w:r>
      <w:proofErr w:type="gramEnd"/>
    </w:p>
    <w:p w14:paraId="1C3D9EFB" w14:textId="77777777" w:rsidR="0064014D" w:rsidRPr="000351B0" w:rsidRDefault="0064014D" w:rsidP="00FD3DC4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0308BD55" w14:textId="50989D4B" w:rsidR="0064014D" w:rsidRDefault="00FD3DC4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08.10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.2018 г. состоял</w:t>
      </w:r>
      <w:r w:rsidR="00D60FF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ось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D60FF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2 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выезд</w:t>
      </w:r>
      <w:r w:rsidR="00D60FF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а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группы консультантов проекта в</w:t>
      </w:r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Беловский</w:t>
      </w:r>
      <w:proofErr w:type="spellEnd"/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Суджанский</w:t>
      </w:r>
      <w:proofErr w:type="spellEnd"/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районы Курской области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 Было ока</w:t>
      </w:r>
      <w:r w:rsidR="000504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зано 224 </w:t>
      </w:r>
      <w:proofErr w:type="gramStart"/>
      <w:r w:rsidR="000504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правовых</w:t>
      </w:r>
      <w:proofErr w:type="gramEnd"/>
      <w:r w:rsidR="000504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консультации</w:t>
      </w:r>
      <w:r w:rsidR="00075E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205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жителям Курской области </w:t>
      </w:r>
      <w:r w:rsidR="006064C8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(отчет прилагаем – Приложение №1</w:t>
      </w:r>
      <w:r w:rsidR="000504D2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,2</w:t>
      </w:r>
      <w:r w:rsidR="0064014D"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)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0220A9EC" w14:textId="7B501A54" w:rsidR="0045620F" w:rsidRPr="0045620F" w:rsidRDefault="0045620F" w:rsidP="000504D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lastRenderedPageBreak/>
        <w:t>Прием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ы населения прошли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в строгом соответствии с санитарно-эпидемиологическими требованиями, направленными на предупреждение распространения </w:t>
      </w:r>
      <w:proofErr w:type="spellStart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коронавирусной</w:t>
      </w:r>
      <w:proofErr w:type="spellEnd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инфекции.</w:t>
      </w:r>
    </w:p>
    <w:p w14:paraId="402FDCFC" w14:textId="77777777" w:rsidR="00B3744D" w:rsidRDefault="0045620F" w:rsidP="00B374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 Беловском районе г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лавной темой обращений большинства жителей, пришедших за консультацией, стал вопрос о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формления земли и недвижимости.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Также большое число обращений было связано с вопросами семейного права, в том числе помощь семьям с приемными детьми, поддержка сирот, правомерность лишения родительск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их прав.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Как всегда, немало вопросов поступило к пр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едставителям пенсионного фонда.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Иные правовые обращения граждан касались уплаты налогов, раздела имущества при разводе, проблем ЖКХ, кредитования и займов, исполнительного производства и порядка наследов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ания имущества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.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Многие участники акции обратились за разрешением сра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зу нескольких правовых проблем.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Практически все поступившие в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опросы были разрешены на месте.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Жалоб в отношении действий или бездействий органов местного самоуправления Беловского района в рамках проведенного мероприятия выявлено не было.</w:t>
      </w:r>
    </w:p>
    <w:p w14:paraId="1680E791" w14:textId="396E16ED" w:rsidR="00B3744D" w:rsidRPr="000351B0" w:rsidRDefault="0045620F" w:rsidP="000B17AB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Обращения, поступившие от жителей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Суджанского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района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отличались разнообразием тем 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 сложностью правовых вопросов.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Самыми популярными категориями обращений стали вопросы пенсионного и социального обеспечения, оформления недвижимости, применения налоговых вычетов и уплаты налогов, особенности исполнения обязательств, в </w:t>
      </w:r>
      <w:proofErr w:type="spellStart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т.ч</w:t>
      </w:r>
      <w:proofErr w:type="spellEnd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 кред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итных и финансовых.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Также были даны консультации по вопросам семейного права, осуществления нотариальных действий, соблюдения трудового законодательства, выплат медицинским работникам в связи с распростра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нением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инфекции.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Многие участники акции обратились за разрешением сра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зу нескольких правовых проблем.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Все поступившие в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опросы были разрешены на месте.</w:t>
      </w:r>
      <w:r w:rsid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Жалоб в отношении действий или бездействий органов местного самоуправления </w:t>
      </w:r>
      <w:proofErr w:type="spellStart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Суджанского</w:t>
      </w:r>
      <w:proofErr w:type="spellEnd"/>
      <w:r w:rsidRPr="0045620F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района в рамках проведенного мероприятия выявлено не было.</w:t>
      </w:r>
    </w:p>
    <w:p w14:paraId="508471F9" w14:textId="77777777" w:rsidR="00075E4D" w:rsidRDefault="0064014D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1B0">
        <w:rPr>
          <w:rFonts w:ascii="Times New Roman" w:hAnsi="Times New Roman"/>
          <w:sz w:val="24"/>
          <w:szCs w:val="24"/>
        </w:rPr>
        <w:t xml:space="preserve">Фотоотчет о проведении мероприятия </w:t>
      </w:r>
      <w:proofErr w:type="gramStart"/>
      <w:r w:rsidRPr="000351B0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0351B0">
        <w:rPr>
          <w:rFonts w:ascii="Times New Roman" w:hAnsi="Times New Roman"/>
          <w:sz w:val="24"/>
          <w:szCs w:val="24"/>
        </w:rPr>
        <w:t xml:space="preserve"> по ссылке:</w:t>
      </w:r>
    </w:p>
    <w:p w14:paraId="654F92CD" w14:textId="04153C9F" w:rsidR="0064014D" w:rsidRDefault="00994F59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75E4D" w:rsidRPr="00120CC1">
          <w:rPr>
            <w:rStyle w:val="a6"/>
            <w:rFonts w:ascii="Times New Roman" w:hAnsi="Times New Roman"/>
            <w:sz w:val="24"/>
            <w:szCs w:val="24"/>
          </w:rPr>
          <w:t>https://yadi.sk/d/PyalVUKSKKxmUg?w=1</w:t>
        </w:r>
      </w:hyperlink>
    </w:p>
    <w:p w14:paraId="5A97EE12" w14:textId="5928F398" w:rsidR="00075E4D" w:rsidRDefault="00994F59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75E4D" w:rsidRPr="00120CC1">
          <w:rPr>
            <w:rStyle w:val="a6"/>
            <w:rFonts w:ascii="Times New Roman" w:hAnsi="Times New Roman"/>
            <w:sz w:val="24"/>
            <w:szCs w:val="24"/>
          </w:rPr>
          <w:t>https://yadi.sk/d/jcojmzNkljuqdQ?w=1</w:t>
        </w:r>
      </w:hyperlink>
    </w:p>
    <w:p w14:paraId="38BF9C50" w14:textId="77777777" w:rsidR="0064014D" w:rsidRPr="000351B0" w:rsidRDefault="0064014D" w:rsidP="000B1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754C6" w14:textId="5B46A5FF" w:rsidR="006064C8" w:rsidRDefault="00B3744D" w:rsidP="006064C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15.10.2020</w:t>
      </w:r>
      <w:r w:rsidR="0064014D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</w:t>
      </w:r>
      <w:r w:rsidR="00D60FFE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2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акции проекта прошли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для жителей </w:t>
      </w:r>
      <w:proofErr w:type="spell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Глушковского</w:t>
      </w:r>
      <w:proofErr w:type="spellEnd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Корене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вского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районов Курской области, причем из-за неблагоприятной эпидемиологической обстановки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впервые за всю историю проекта совместный прием прошел в дистанционном формате.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6064C8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Было ока</w:t>
      </w:r>
      <w:r w:rsidR="006064C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зано 216 правовых консультаций 208</w:t>
      </w:r>
      <w:r w:rsidR="006064C8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жителям Курской области </w:t>
      </w:r>
      <w:r w:rsidR="008C7E9D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(отчет прилагаем – Приложение №3</w:t>
      </w:r>
      <w:r w:rsidR="004678FB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,4</w:t>
      </w:r>
      <w:r w:rsidR="006064C8"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)</w:t>
      </w:r>
      <w:r w:rsidR="006064C8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12A39EE5" w14:textId="1F13255A" w:rsidR="00B3744D" w:rsidRDefault="00B3744D" w:rsidP="006064C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Группа консультантов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разместились в областном центре, в г. Курске, на базе КРО ООО «ОПС «Человек и Закон».</w:t>
      </w:r>
      <w:r w:rsidR="000504D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Конференц-связь</w:t>
      </w:r>
      <w:proofErr w:type="gramEnd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с консультантами проекта была обеспечена на базе Администраций </w:t>
      </w:r>
      <w:proofErr w:type="spell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Глушковского</w:t>
      </w:r>
      <w:proofErr w:type="spellEnd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Кореневского</w:t>
      </w:r>
      <w:proofErr w:type="spellEnd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районов Курской области: специалисты Администраций обеспечили техническое соединение с группой консультантов, располагаемых в г. Курске. Такая организация позволила избежать массового скопления людей во время приема и провести его в строгом соответствии с санитарно-эпидемиологическими требованиями, направленными на предупреждение распространения </w:t>
      </w:r>
      <w:proofErr w:type="spellStart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коронавирусной</w:t>
      </w:r>
      <w:proofErr w:type="spellEnd"/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инфекции.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Жителям районов, 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которые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ращались за правовой помощью в рамках проекта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была обеспечена конфиденциальность консультации: во время общения с адвокатами, юристами и должностными лицами органов власти присутствие других лиц, за исключением техниче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ских специалистов, исключалось.</w:t>
      </w:r>
      <w:r w:rsidR="006064C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Главной темой обращений большинства жителей, пришедших за консультацией, стал вопросы оформления земли и недвижимости, пенсион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ного и социального обеспечения.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Часть обращений была связана с вопросами семейного права, исполнительного производства и ЖКХ.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Все поступившие в</w:t>
      </w:r>
      <w:r w:rsidR="00737238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опросы были разрешены на месте. </w:t>
      </w:r>
      <w:r w:rsidRPr="00B3744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Жалоб в отношении действий или бездействий органов местного самоуправления в рамках проведенных мероприятий выявлено не было.</w:t>
      </w:r>
    </w:p>
    <w:p w14:paraId="0A1CE88A" w14:textId="38CB1D1B" w:rsidR="00737238" w:rsidRDefault="0064014D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1B0">
        <w:rPr>
          <w:rFonts w:ascii="Times New Roman" w:hAnsi="Times New Roman"/>
          <w:sz w:val="24"/>
          <w:szCs w:val="24"/>
        </w:rPr>
        <w:t>Фо</w:t>
      </w:r>
      <w:r w:rsidR="00737238">
        <w:rPr>
          <w:rFonts w:ascii="Times New Roman" w:hAnsi="Times New Roman"/>
          <w:sz w:val="24"/>
          <w:szCs w:val="24"/>
        </w:rPr>
        <w:t>тоотчет о проведении мероприятий</w:t>
      </w:r>
      <w:r w:rsidRPr="00035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1B0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0351B0">
        <w:rPr>
          <w:rFonts w:ascii="Times New Roman" w:hAnsi="Times New Roman"/>
          <w:sz w:val="24"/>
          <w:szCs w:val="24"/>
        </w:rPr>
        <w:t xml:space="preserve"> по ссылке: </w:t>
      </w:r>
    </w:p>
    <w:p w14:paraId="73D4AF83" w14:textId="0CE59B98" w:rsidR="00737238" w:rsidRPr="00D60FFE" w:rsidRDefault="00994F59" w:rsidP="0064014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hyperlink r:id="rId8" w:history="1">
        <w:r w:rsidR="00737238" w:rsidRPr="00D60FFE">
          <w:rPr>
            <w:rStyle w:val="a6"/>
            <w:rFonts w:ascii="Times New Roman" w:hAnsi="Times New Roman"/>
            <w:sz w:val="24"/>
          </w:rPr>
          <w:t>https://yadi.sk/d/C6O5si5bz1fJvA?w=1</w:t>
        </w:r>
      </w:hyperlink>
    </w:p>
    <w:p w14:paraId="544D9C87" w14:textId="77777777" w:rsidR="0064014D" w:rsidRPr="000351B0" w:rsidRDefault="0064014D" w:rsidP="000B1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AD32A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lastRenderedPageBreak/>
        <w:t>Результаты реализации проекта показали, что проект «</w:t>
      </w:r>
      <w:proofErr w:type="spell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Правомобиль</w:t>
      </w:r>
      <w:proofErr w:type="spell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» стал автономным и при этом дополняющим существующую систему бесплатной юридической помощи РФ элементом и доказал эффективность используемых при его реализации подходов и методов:</w:t>
      </w:r>
    </w:p>
    <w:p w14:paraId="4303D038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исходя из положений действующего законодательства и сложившейся экономической и социальной обстановки, у населения муниципальных районов Курской области по-прежнему отсутствует доступ к квалифицированной и при этом доступной юридической помощи. Ни приемные дни в некоторых органах власти, проводимые самостоятельно, в местах размещения данных органов власти, ни наличие 2-3 адвокатов в районе, имеющих, как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правило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либо узкую либо недостаточную квалификацию и требующих обязательной оплаты своих услуг, ни наличие в некоторых муниципальных образованиях доступа к сети «Интернет» и возможности ознакомиться с шаблонными и не всегда квалифицированными правовыми разъяснениями, отсутствие центров (государственных и негосударственных) оказания юридической помощи в районах и даже в областном центре, законодательно ограниченный перечень субъектов, имеющих право на бесплатную юридическую помощь - все это лишает жителей районов Курской области получить необходимую им правовую поддержку.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Именно уникальный в РФ формат реализации проекта - безвозмездность правовой помощи, возможность ее получения централизованно, непосредственно в месте проживания, единовременно у квалифицированных специалистов различных отраслей права и представителей различных ведомств – стал единственным удобным способом предоставления правовой помощи в районах, и тот факт, что круг субъектов, которые могут получить правовую консультацию не ограничен, только добавил популярности проекта у населения. </w:t>
      </w:r>
      <w:proofErr w:type="gramEnd"/>
    </w:p>
    <w:p w14:paraId="0457C5A5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Результаты выездных консультаций показали: 98% правовых проблем можно разрешить на местах; у жителей есть прямая необходимость обращения к специалистам в различных областях права; регулярные выезды в районы привлекает к участию в проекте все больше граждан. </w:t>
      </w:r>
    </w:p>
    <w:p w14:paraId="3646017D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По окончанию каждого выездного мероприятия в адрес организации-заявителя проекта поступают обращения от Администраций районов, где проходили мероприятия, с целью осуществления выездов на регулярной основе, поскольку количество и формат поступающих к ним правовых обращений не позволяют самостоятельно разбираться с проблемами населения, при этом жители, которые приняли участие в проекте, рекомендуют его в дальнейшем иным жителям муниципальных образований, которые, в свою очередь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направляют прямые обращения в адрес организации-заявителя проекта, что свидетельствует о потребности выездов в муниципальные образования на регулярной основе.</w:t>
      </w:r>
    </w:p>
    <w:p w14:paraId="36B3FB3E" w14:textId="77777777" w:rsidR="0064014D" w:rsidRPr="000351B0" w:rsidRDefault="0064014D" w:rsidP="0064014D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31BA4367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Главная цель проекта - защита прав и правовое просвещение граждан Российской Федерации, проживающих в отдаленных от областного центра населенных пунктах Курской области – в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рамках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заявленных в проекте показателей была достигнута в полном объеме.</w:t>
      </w:r>
    </w:p>
    <w:p w14:paraId="51B8A401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Правовую помощь (единовременно, централизованно, непосредственно в месте проживания по различным отраслям права) от запланированного числа и специализации консультантов проекта смогло получить заявленное число жителей Курской области. По итогам выезда удалось подготовить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полезное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как в рамках статистических сведений, так и в рамках правовых разъяснений заключение, распространение которого позволило повысить уровень правовой просвещенности населения. </w:t>
      </w:r>
    </w:p>
    <w:p w14:paraId="33788F2F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Главным эффектом и достижением проекта явились: </w:t>
      </w:r>
    </w:p>
    <w:p w14:paraId="3319C93A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фактическое предоставление квалифицированной юридической помощи нуждающимся в ней лицам;</w:t>
      </w:r>
    </w:p>
    <w:p w14:paraId="7F499706" w14:textId="310388B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возможность обеспечить не формальное, а адресное право</w:t>
      </w:r>
      <w:r w:rsidR="00994F59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вое просвещение населения –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путем непосредственных юридических консультаций;</w:t>
      </w:r>
    </w:p>
    <w:p w14:paraId="4533C308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привлечение внимания общества и органов власти как к проблемам в существующей системе предоставления бесплатной юридической помощи, так и к проблемам населения муниципальных районов населения в целом;</w:t>
      </w:r>
    </w:p>
    <w:p w14:paraId="6DCDDB80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lastRenderedPageBreak/>
        <w:t>- повышение уровня квалификации консультантов проекта;</w:t>
      </w:r>
    </w:p>
    <w:p w14:paraId="0D6AB64A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совершенствование взаимодействия общественных объединений и органов государственной власти в решении социальных и общественно значимых проблем;</w:t>
      </w:r>
    </w:p>
    <w:p w14:paraId="51DFE0DD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повышение доверия населения в развитии государства и общества, формирование уважительного отношения населения к закону;</w:t>
      </w:r>
    </w:p>
    <w:p w14:paraId="14C27007" w14:textId="6FA09AD6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- распространение положительных результатов участия общественных объединений в конкурсе проектов общественно полезных программ, представленных общественными объединениями на соискание областной государственной поддержки – путем </w:t>
      </w:r>
      <w:r w:rsidR="00994F59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инициирования </w:t>
      </w:r>
      <w:bookmarkStart w:id="0" w:name="_GoBack"/>
      <w:bookmarkEnd w:id="0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создания новых некоммерческих организаций и развития деятельности уже существующих в регионе.</w:t>
      </w:r>
    </w:p>
    <w:p w14:paraId="02508C0C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719511E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Фактические задачи, которые были разрешены при реализации проекта, оказались шире заявленных: проведение выездных консультаций на местах позволило:</w:t>
      </w:r>
    </w:p>
    <w:p w14:paraId="5149E4E9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1) обеспечить на базе деятельности общественной организации диалог между властью и населением, позволить населению заявить о своих проблемах, а органам власти обеспечить участие в их разрешении; </w:t>
      </w:r>
    </w:p>
    <w:p w14:paraId="1ADF968A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2) провести общественный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контроль за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деятельностью должностных лиц органов местного самоуправления; </w:t>
      </w:r>
    </w:p>
    <w:p w14:paraId="0E9EE216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3) обеспечить категориям населения, ранее не имеющим ввиду положений законодательства доступа к системе бесплатной юридической помощи, беспрепятственный и независящий от материального или социального положения доступ к получению безвозмездной и квалифицированной юридической помощи.</w:t>
      </w:r>
    </w:p>
    <w:p w14:paraId="00541115" w14:textId="77777777" w:rsidR="0064014D" w:rsidRPr="000351B0" w:rsidRDefault="0064014D" w:rsidP="0064014D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341FF0C0" w14:textId="77777777" w:rsidR="0064014D" w:rsidRPr="000351B0" w:rsidRDefault="0064014D" w:rsidP="0064014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Приложение:</w:t>
      </w:r>
    </w:p>
    <w:p w14:paraId="22A425DF" w14:textId="3DB1FA87" w:rsidR="0064014D" w:rsidRDefault="0064014D" w:rsidP="006401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Отчет</w:t>
      </w:r>
      <w:r w:rsidR="000B17AB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о проведении акции в Беловском</w:t>
      </w: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районе.</w:t>
      </w:r>
    </w:p>
    <w:p w14:paraId="3943F740" w14:textId="2A3FFE25" w:rsidR="000B17AB" w:rsidRPr="000B17AB" w:rsidRDefault="000B17AB" w:rsidP="000B17A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Отчет</w:t>
      </w: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о проведении акции в </w:t>
      </w:r>
      <w:proofErr w:type="spellStart"/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Суджанском</w:t>
      </w:r>
      <w:proofErr w:type="spellEnd"/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районе.</w:t>
      </w:r>
    </w:p>
    <w:p w14:paraId="0E4DA91E" w14:textId="1D8AF704" w:rsidR="0064014D" w:rsidRDefault="0064014D" w:rsidP="006401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Отчет </w:t>
      </w:r>
      <w:r w:rsidR="000B17AB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о проведении акции в </w:t>
      </w:r>
      <w:proofErr w:type="spellStart"/>
      <w:r w:rsidR="004678FB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Глушковском</w:t>
      </w:r>
      <w:proofErr w:type="spellEnd"/>
      <w:r w:rsidR="004678FB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районе</w:t>
      </w: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.</w:t>
      </w:r>
    </w:p>
    <w:p w14:paraId="77330DC5" w14:textId="3C45E3BE" w:rsidR="004678FB" w:rsidRPr="000351B0" w:rsidRDefault="004678FB" w:rsidP="0064014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Отчет </w:t>
      </w: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о проведении акции в </w:t>
      </w:r>
      <w:proofErr w:type="spellStart"/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Кореневском</w:t>
      </w:r>
      <w:proofErr w:type="spellEnd"/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 районе</w:t>
      </w: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.</w:t>
      </w:r>
    </w:p>
    <w:p w14:paraId="73A480B6" w14:textId="08EAAC19" w:rsidR="000351B0" w:rsidRPr="000351B0" w:rsidRDefault="000351B0" w:rsidP="000351B0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506928D6" w14:textId="77777777" w:rsidR="000351B0" w:rsidRDefault="000351B0" w:rsidP="000351B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hd w:val="clear" w:color="auto" w:fill="FFFFFF"/>
        </w:rPr>
      </w:pPr>
    </w:p>
    <w:p w14:paraId="14339933" w14:textId="575A069B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hd w:val="clear" w:color="auto" w:fill="FFFFFF"/>
        </w:rPr>
      </w:pPr>
    </w:p>
    <w:p w14:paraId="33BC3DE1" w14:textId="0E10AF7C" w:rsidR="009647DB" w:rsidRPr="00B018DD" w:rsidRDefault="004F3D40" w:rsidP="00B018DD">
      <w:pPr>
        <w:spacing w:after="0" w:line="240" w:lineRule="auto"/>
        <w:ind w:firstLine="709"/>
        <w:rPr>
          <w:rFonts w:ascii="Times New Roman" w:eastAsia="Times New Roman" w:hAnsi="Times New Roman" w:cs="Calibri"/>
          <w:iCs/>
          <w:kern w:val="0"/>
          <w:shd w:val="clear" w:color="auto" w:fill="FFFFFF"/>
        </w:rPr>
      </w:pPr>
      <w:r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«_____» __________ </w:t>
      </w:r>
      <w:r w:rsidR="006064C8">
        <w:rPr>
          <w:rFonts w:ascii="Times New Roman" w:eastAsia="Times New Roman" w:hAnsi="Times New Roman" w:cs="Calibri"/>
          <w:iCs/>
          <w:kern w:val="0"/>
          <w:shd w:val="clear" w:color="auto" w:fill="FFFFFF"/>
        </w:rPr>
        <w:t>2020</w:t>
      </w:r>
      <w:r w:rsidR="009647DB" w:rsidRPr="00B018DD"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 г.</w:t>
      </w:r>
    </w:p>
    <w:p w14:paraId="1A88E9C9" w14:textId="77777777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/>
          <w:iCs/>
          <w:kern w:val="0"/>
          <w:shd w:val="clear" w:color="auto" w:fill="FFFFFF"/>
        </w:rPr>
      </w:pPr>
    </w:p>
    <w:p w14:paraId="117D7699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Председатель </w:t>
      </w:r>
    </w:p>
    <w:p w14:paraId="153B965D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КРО ООО «ОПС «Человек и Закон»                                         А.В. </w:t>
      </w:r>
      <w:proofErr w:type="spellStart"/>
      <w:r w:rsidRPr="009647DB">
        <w:rPr>
          <w:rFonts w:ascii="Times New Roman" w:eastAsia="Times New Roman" w:hAnsi="Times New Roman"/>
          <w:b/>
          <w:kern w:val="0"/>
        </w:rPr>
        <w:t>Терновцов</w:t>
      </w:r>
      <w:proofErr w:type="spellEnd"/>
      <w:r w:rsidRPr="009647DB">
        <w:rPr>
          <w:rFonts w:ascii="Times New Roman" w:eastAsia="Times New Roman" w:hAnsi="Times New Roman"/>
          <w:b/>
          <w:kern w:val="0"/>
        </w:rPr>
        <w:t xml:space="preserve"> </w:t>
      </w:r>
    </w:p>
    <w:p w14:paraId="2476E3BA" w14:textId="77777777" w:rsidR="000B46F0" w:rsidRPr="009647DB" w:rsidRDefault="000B46F0"/>
    <w:sectPr w:rsidR="000B46F0" w:rsidRPr="009647DB" w:rsidSect="00060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066"/>
    <w:multiLevelType w:val="hybridMultilevel"/>
    <w:tmpl w:val="FBC2FE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D5946"/>
    <w:multiLevelType w:val="hybridMultilevel"/>
    <w:tmpl w:val="2DCC7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037146"/>
    <w:multiLevelType w:val="hybridMultilevel"/>
    <w:tmpl w:val="C7CA0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370051"/>
    <w:multiLevelType w:val="hybridMultilevel"/>
    <w:tmpl w:val="C1B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03C0"/>
    <w:multiLevelType w:val="hybridMultilevel"/>
    <w:tmpl w:val="E3C823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0"/>
    <w:rsid w:val="000351B0"/>
    <w:rsid w:val="00043560"/>
    <w:rsid w:val="000504D2"/>
    <w:rsid w:val="00060F46"/>
    <w:rsid w:val="00075E4D"/>
    <w:rsid w:val="000B17AB"/>
    <w:rsid w:val="000B46F0"/>
    <w:rsid w:val="00152208"/>
    <w:rsid w:val="001E7A02"/>
    <w:rsid w:val="00222A1B"/>
    <w:rsid w:val="00401C00"/>
    <w:rsid w:val="0045620F"/>
    <w:rsid w:val="004678FB"/>
    <w:rsid w:val="00475435"/>
    <w:rsid w:val="004F3D40"/>
    <w:rsid w:val="005849A0"/>
    <w:rsid w:val="006064C8"/>
    <w:rsid w:val="0064014D"/>
    <w:rsid w:val="00662742"/>
    <w:rsid w:val="006957AF"/>
    <w:rsid w:val="006A00C7"/>
    <w:rsid w:val="006A0B3B"/>
    <w:rsid w:val="00713508"/>
    <w:rsid w:val="00715181"/>
    <w:rsid w:val="0072040D"/>
    <w:rsid w:val="00737238"/>
    <w:rsid w:val="00772349"/>
    <w:rsid w:val="00795758"/>
    <w:rsid w:val="00836122"/>
    <w:rsid w:val="0086012A"/>
    <w:rsid w:val="008C7E9D"/>
    <w:rsid w:val="00956482"/>
    <w:rsid w:val="009647DB"/>
    <w:rsid w:val="00994F59"/>
    <w:rsid w:val="009A2841"/>
    <w:rsid w:val="00AF5550"/>
    <w:rsid w:val="00B018DD"/>
    <w:rsid w:val="00B03782"/>
    <w:rsid w:val="00B32ABD"/>
    <w:rsid w:val="00B3744D"/>
    <w:rsid w:val="00BA3C15"/>
    <w:rsid w:val="00C431EE"/>
    <w:rsid w:val="00C81A04"/>
    <w:rsid w:val="00CD547E"/>
    <w:rsid w:val="00D60FFE"/>
    <w:rsid w:val="00E91AB4"/>
    <w:rsid w:val="00EE3CE1"/>
    <w:rsid w:val="00F02D64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0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035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1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0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035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6O5si5bz1fJvA?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jcojmzNkljuqdQ?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yalVUKSKKxmUg?w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nnepochatyh</cp:lastModifiedBy>
  <cp:revision>27</cp:revision>
  <cp:lastPrinted>2020-11-30T10:00:00Z</cp:lastPrinted>
  <dcterms:created xsi:type="dcterms:W3CDTF">2017-11-29T06:29:00Z</dcterms:created>
  <dcterms:modified xsi:type="dcterms:W3CDTF">2020-11-30T10:00:00Z</dcterms:modified>
</cp:coreProperties>
</file>